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4B" w:rsidRPr="006875CA" w:rsidRDefault="009A5ED8" w:rsidP="006875CA">
      <w:pPr>
        <w:keepNext/>
        <w:keepLines/>
        <w:shd w:val="clear" w:color="auto" w:fill="F7CAAC" w:themeFill="accent2" w:themeFillTint="66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napToGrid w:val="0"/>
          <w:lang w:eastAsia="x-none"/>
        </w:rPr>
      </w:pPr>
      <w:bookmarkStart w:id="0" w:name="_Toc39140114"/>
      <w:bookmarkStart w:id="1" w:name="_Toc85629482"/>
      <w:r w:rsidRPr="006875CA">
        <w:rPr>
          <w:rFonts w:ascii="Times New Roman" w:eastAsia="Times New Roman" w:hAnsi="Times New Roman" w:cs="Times New Roman"/>
          <w:b/>
          <w:snapToGrid w:val="0"/>
          <w:lang w:eastAsia="x-none"/>
        </w:rPr>
        <w:t xml:space="preserve">Раздел 5, </w:t>
      </w:r>
      <w:r w:rsidR="00182E4B" w:rsidRPr="006875CA">
        <w:rPr>
          <w:rFonts w:ascii="Times New Roman" w:eastAsia="Times New Roman" w:hAnsi="Times New Roman" w:cs="Times New Roman"/>
          <w:b/>
          <w:snapToGrid w:val="0"/>
          <w:lang w:val="x-none" w:eastAsia="x-none"/>
        </w:rPr>
        <w:t xml:space="preserve">Приложение № 3 к </w:t>
      </w:r>
      <w:bookmarkEnd w:id="0"/>
      <w:r w:rsidR="00CA0D93" w:rsidRPr="006875CA">
        <w:rPr>
          <w:rFonts w:ascii="Times New Roman" w:eastAsia="Times New Roman" w:hAnsi="Times New Roman" w:cs="Times New Roman"/>
          <w:b/>
          <w:snapToGrid w:val="0"/>
          <w:lang w:eastAsia="x-none"/>
        </w:rPr>
        <w:t>извещению</w:t>
      </w:r>
      <w:r w:rsidR="00182E4B" w:rsidRPr="006875CA">
        <w:rPr>
          <w:rFonts w:ascii="Times New Roman" w:eastAsia="Times New Roman" w:hAnsi="Times New Roman" w:cs="Times New Roman"/>
          <w:b/>
          <w:snapToGrid w:val="0"/>
          <w:lang w:eastAsia="x-none"/>
        </w:rPr>
        <w:t xml:space="preserve"> о закупке</w:t>
      </w:r>
      <w:bookmarkEnd w:id="1"/>
      <w:r w:rsidR="00182E4B" w:rsidRPr="006875CA">
        <w:rPr>
          <w:rFonts w:ascii="Times New Roman" w:eastAsia="Times New Roman" w:hAnsi="Times New Roman" w:cs="Times New Roman"/>
          <w:b/>
          <w:snapToGrid w:val="0"/>
          <w:lang w:eastAsia="x-none"/>
        </w:rPr>
        <w:t xml:space="preserve"> </w:t>
      </w:r>
      <w:r w:rsidRPr="006875CA">
        <w:rPr>
          <w:rFonts w:ascii="Times New Roman" w:eastAsia="Times New Roman" w:hAnsi="Times New Roman" w:cs="Times New Roman"/>
          <w:b/>
          <w:snapToGrid w:val="0"/>
          <w:lang w:eastAsia="x-none"/>
        </w:rPr>
        <w:t xml:space="preserve"> </w:t>
      </w:r>
    </w:p>
    <w:p w:rsidR="00182E4B" w:rsidRPr="00182E4B" w:rsidRDefault="00182E4B" w:rsidP="00182E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bookmarkStart w:id="2" w:name="_Toc75019060"/>
    </w:p>
    <w:p w:rsidR="00182E4B" w:rsidRDefault="00182E4B" w:rsidP="00A940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A940E0">
        <w:rPr>
          <w:rFonts w:ascii="Times New Roman" w:eastAsia="Times New Roman" w:hAnsi="Times New Roman" w:cs="Times New Roman"/>
          <w:b/>
          <w:snapToGrid w:val="0"/>
          <w:lang w:eastAsia="ru-RU"/>
        </w:rPr>
        <w:t>Обоснование начальной (максимальной) цены договора</w:t>
      </w:r>
      <w:bookmarkEnd w:id="2"/>
    </w:p>
    <w:p w:rsidR="006875CA" w:rsidRDefault="006875CA" w:rsidP="00A940E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Pr="006875CA">
        <w:rPr>
          <w:rFonts w:ascii="Times New Roman" w:hAnsi="Times New Roman" w:cs="Times New Roman"/>
          <w:b/>
        </w:rPr>
        <w:t xml:space="preserve">а </w:t>
      </w:r>
      <w:r w:rsidRPr="006875CA">
        <w:rPr>
          <w:rFonts w:ascii="Times New Roman" w:hAnsi="Times New Roman" w:cs="Times New Roman"/>
          <w:b/>
        </w:rPr>
        <w:t xml:space="preserve">выполнение работ по разработке модели угроз информационной безопасности объекта информатизации «Информационная система «РРМ» </w:t>
      </w:r>
    </w:p>
    <w:p w:rsidR="006875CA" w:rsidRPr="006875CA" w:rsidRDefault="006875CA" w:rsidP="00A940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6875CA">
        <w:rPr>
          <w:rFonts w:ascii="Times New Roman" w:hAnsi="Times New Roman" w:cs="Times New Roman"/>
          <w:b/>
        </w:rPr>
        <w:t>и пров</w:t>
      </w:r>
      <w:r w:rsidRPr="006875CA">
        <w:rPr>
          <w:rFonts w:ascii="Times New Roman" w:hAnsi="Times New Roman" w:cs="Times New Roman"/>
          <w:b/>
        </w:rPr>
        <w:t>едение аттестационных испытаний</w:t>
      </w:r>
    </w:p>
    <w:p w:rsidR="006875CA" w:rsidRPr="006875CA" w:rsidRDefault="006875CA" w:rsidP="00A940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A940E0" w:rsidRPr="00D300A6" w:rsidRDefault="006875CA" w:rsidP="00D300A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00A6">
        <w:rPr>
          <w:rFonts w:ascii="Times New Roman" w:hAnsi="Times New Roman" w:cs="Times New Roman"/>
        </w:rPr>
        <w:t>Определение начальной (максима</w:t>
      </w:r>
      <w:r w:rsidR="00D300A6" w:rsidRPr="00D300A6">
        <w:rPr>
          <w:rFonts w:ascii="Times New Roman" w:hAnsi="Times New Roman" w:cs="Times New Roman"/>
        </w:rPr>
        <w:t>льной) цены договоров проведено с использованием метода, предусмотренного п.Б.</w:t>
      </w:r>
      <w:r w:rsidR="00D300A6">
        <w:rPr>
          <w:rFonts w:ascii="Times New Roman" w:hAnsi="Times New Roman" w:cs="Times New Roman"/>
        </w:rPr>
        <w:t>2</w:t>
      </w:r>
      <w:r w:rsidR="00D300A6" w:rsidRPr="00D300A6">
        <w:rPr>
          <w:rFonts w:ascii="Times New Roman" w:hAnsi="Times New Roman" w:cs="Times New Roman"/>
        </w:rPr>
        <w:t>.</w:t>
      </w:r>
      <w:r w:rsidR="00D300A6">
        <w:rPr>
          <w:rFonts w:ascii="Times New Roman" w:hAnsi="Times New Roman" w:cs="Times New Roman"/>
        </w:rPr>
        <w:t>3</w:t>
      </w:r>
      <w:r w:rsidR="00D300A6" w:rsidRPr="00D300A6">
        <w:rPr>
          <w:rFonts w:ascii="Times New Roman" w:hAnsi="Times New Roman" w:cs="Times New Roman"/>
        </w:rPr>
        <w:t xml:space="preserve"> (</w:t>
      </w:r>
      <w:r w:rsidR="00D300A6">
        <w:rPr>
          <w:rFonts w:ascii="Times New Roman" w:hAnsi="Times New Roman" w:cs="Times New Roman"/>
        </w:rPr>
        <w:t>3</w:t>
      </w:r>
      <w:r w:rsidR="00D300A6" w:rsidRPr="00D300A6">
        <w:rPr>
          <w:rFonts w:ascii="Times New Roman" w:hAnsi="Times New Roman" w:cs="Times New Roman"/>
        </w:rPr>
        <w:t>):</w:t>
      </w:r>
      <w:r w:rsidR="00D300A6">
        <w:rPr>
          <w:rFonts w:ascii="Times New Roman" w:hAnsi="Times New Roman" w:cs="Times New Roman"/>
        </w:rPr>
        <w:t xml:space="preserve"> </w:t>
      </w:r>
      <w:r w:rsidR="00D300A6" w:rsidRPr="00D300A6">
        <w:rPr>
          <w:rFonts w:ascii="Times New Roman" w:hAnsi="Times New Roman" w:cs="Times New Roman"/>
        </w:rPr>
        <w:t xml:space="preserve">анализа </w:t>
      </w:r>
      <w:r w:rsidR="00D300A6" w:rsidRPr="00D300A6">
        <w:rPr>
          <w:rFonts w:ascii="Times New Roman" w:hAnsi="Times New Roman" w:cs="Times New Roman"/>
        </w:rPr>
        <w:t xml:space="preserve">рыночной стоимости </w:t>
      </w:r>
      <w:r w:rsidR="00D300A6">
        <w:rPr>
          <w:rFonts w:ascii="Times New Roman" w:hAnsi="Times New Roman" w:cs="Times New Roman"/>
        </w:rPr>
        <w:t xml:space="preserve">выполнения </w:t>
      </w:r>
      <w:r w:rsidR="00D300A6" w:rsidRPr="00D300A6">
        <w:rPr>
          <w:rFonts w:ascii="Times New Roman" w:hAnsi="Times New Roman" w:cs="Times New Roman"/>
        </w:rPr>
        <w:t>работ</w:t>
      </w:r>
      <w:r w:rsidR="00D300A6">
        <w:rPr>
          <w:rFonts w:ascii="Times New Roman" w:hAnsi="Times New Roman" w:cs="Times New Roman"/>
        </w:rPr>
        <w:t>.</w:t>
      </w:r>
    </w:p>
    <w:p w:rsidR="006875CA" w:rsidRPr="006875CA" w:rsidRDefault="006875CA" w:rsidP="00D300A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1985"/>
        <w:gridCol w:w="1843"/>
        <w:gridCol w:w="1842"/>
        <w:gridCol w:w="1560"/>
        <w:gridCol w:w="1134"/>
        <w:gridCol w:w="1275"/>
        <w:gridCol w:w="1423"/>
      </w:tblGrid>
      <w:tr w:rsidR="00CA0D93" w:rsidRPr="003D5CD6" w:rsidTr="00CA0D93">
        <w:trPr>
          <w:trHeight w:val="114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CA0D93" w:rsidRPr="003D5CD6" w:rsidRDefault="00CA0D93" w:rsidP="00CA0D93">
            <w:pPr>
              <w:keepNext/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Наименование работ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Ком предложение</w:t>
            </w:r>
          </w:p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Поставщика</w:t>
            </w:r>
          </w:p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1</w:t>
            </w:r>
          </w:p>
          <w:p w:rsidR="00D300A6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от 21.10.2021   </w:t>
            </w:r>
          </w:p>
          <w:p w:rsidR="00CA0D93" w:rsidRPr="003D5CD6" w:rsidRDefault="00CA0D93" w:rsidP="00B84A1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б/н</w:t>
            </w:r>
            <w:r w:rsidR="00B84A1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Ком предложение</w:t>
            </w:r>
          </w:p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Поставщика</w:t>
            </w:r>
          </w:p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2</w:t>
            </w:r>
          </w:p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от 21.10.2021    </w:t>
            </w:r>
          </w:p>
          <w:p w:rsidR="00CA0D93" w:rsidRPr="003D5CD6" w:rsidRDefault="00CA0D93" w:rsidP="00B84A1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530</w:t>
            </w:r>
            <w:r w:rsidR="00B84A1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842" w:type="dxa"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Ком предложение</w:t>
            </w:r>
          </w:p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Поставщика</w:t>
            </w:r>
          </w:p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3</w:t>
            </w:r>
          </w:p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от 27.10.2021    </w:t>
            </w:r>
          </w:p>
          <w:p w:rsidR="00CA0D93" w:rsidRPr="003D5CD6" w:rsidRDefault="00CA0D93" w:rsidP="00B84A1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 867</w:t>
            </w:r>
            <w:r w:rsidR="00B84A1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560" w:type="dxa"/>
            <w:vAlign w:val="center"/>
            <w:hideMark/>
          </w:tcPr>
          <w:p w:rsidR="00CA0D93" w:rsidRPr="003D5CD6" w:rsidRDefault="00CA0D93" w:rsidP="00CA0D93">
            <w:pPr>
              <w:keepNext/>
              <w:spacing w:after="0" w:line="240" w:lineRule="auto"/>
              <w:ind w:left="-83" w:right="-111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Средняя цена</w:t>
            </w:r>
          </w:p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за ед. продукции (руб.)</w:t>
            </w:r>
          </w:p>
        </w:tc>
        <w:tc>
          <w:tcPr>
            <w:tcW w:w="1134" w:type="dxa"/>
            <w:vAlign w:val="center"/>
            <w:hideMark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Кол-во продукции</w:t>
            </w:r>
          </w:p>
        </w:tc>
        <w:tc>
          <w:tcPr>
            <w:tcW w:w="1423" w:type="dxa"/>
            <w:vAlign w:val="center"/>
            <w:hideMark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Итого  </w:t>
            </w:r>
          </w:p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Стоимость,</w:t>
            </w:r>
          </w:p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CA0D93" w:rsidRPr="003D5CD6" w:rsidTr="00CA0D93">
        <w:trPr>
          <w:trHeight w:val="47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A0D93" w:rsidRPr="003D5CD6" w:rsidRDefault="00CA0D93" w:rsidP="00B84A1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6=(3+4+5)/3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A0D93" w:rsidRPr="003D5CD6" w:rsidRDefault="00CA0D93" w:rsidP="00CA0D93">
            <w:pPr>
              <w:keepNext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A0D93" w:rsidRPr="003D5CD6" w:rsidRDefault="00CA0D93" w:rsidP="00CA0D93">
            <w:pPr>
              <w:keepNext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</w:tr>
      <w:tr w:rsidR="00B84A16" w:rsidRPr="003D5CD6" w:rsidTr="009B1FA2">
        <w:trPr>
          <w:trHeight w:val="72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84A16" w:rsidRPr="003D5CD6" w:rsidRDefault="00B84A16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889" w:type="dxa"/>
            <w:gridSpan w:val="8"/>
            <w:shd w:val="clear" w:color="auto" w:fill="auto"/>
          </w:tcPr>
          <w:p w:rsidR="00B84A16" w:rsidRDefault="00B84A16" w:rsidP="00CA0D93">
            <w:pPr>
              <w:keepNext/>
              <w:spacing w:after="0" w:line="240" w:lineRule="auto"/>
              <w:ind w:left="-38" w:firstLine="15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B84A16" w:rsidRPr="003D5CD6" w:rsidRDefault="00B84A16" w:rsidP="00CA0D93">
            <w:pPr>
              <w:keepNext/>
              <w:spacing w:after="0" w:line="240" w:lineRule="auto"/>
              <w:ind w:left="-38" w:firstLine="15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Выполнение работ по разработке модели угроз информационной безопасности объекта информатизации "Информационная система "РРМ" и проведение аттестационных испытаний</w:t>
            </w:r>
          </w:p>
        </w:tc>
      </w:tr>
      <w:tr w:rsidR="00CA0D93" w:rsidRPr="003D5CD6" w:rsidTr="00CA0D93">
        <w:trPr>
          <w:trHeight w:val="721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  <w:hideMark/>
          </w:tcPr>
          <w:p w:rsidR="00CA0D93" w:rsidRPr="003D5CD6" w:rsidRDefault="00B84A16" w:rsidP="00B84A1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работ приведены в Разделе 2 «Техническое задание», приложение № 1 к Извещению о проведении запроса котировок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D93" w:rsidRPr="003D5CD6" w:rsidRDefault="00CA0D93" w:rsidP="00CA0D93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165 000,00</w:t>
            </w:r>
          </w:p>
        </w:tc>
        <w:tc>
          <w:tcPr>
            <w:tcW w:w="1842" w:type="dxa"/>
            <w:vAlign w:val="center"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0D93" w:rsidRPr="003D5CD6" w:rsidRDefault="00CA0D93" w:rsidP="00CA0D93">
            <w:pPr>
              <w:keepNext/>
              <w:spacing w:after="0" w:line="240" w:lineRule="auto"/>
              <w:ind w:left="-12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Усл</w:t>
            </w:r>
            <w:proofErr w:type="spellEnd"/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CA0D93" w:rsidRPr="003D5CD6" w:rsidRDefault="00CA0D93" w:rsidP="00CA0D93">
            <w:pPr>
              <w:keepNext/>
              <w:spacing w:after="0" w:line="240" w:lineRule="auto"/>
              <w:ind w:left="-38" w:firstLine="15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245 000,00</w:t>
            </w:r>
          </w:p>
        </w:tc>
      </w:tr>
      <w:tr w:rsidR="00CA0D93" w:rsidRPr="003D5CD6" w:rsidTr="00CA0D93">
        <w:trPr>
          <w:trHeight w:val="377"/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  <w:hideMark/>
          </w:tcPr>
          <w:p w:rsidR="00CA0D93" w:rsidRPr="003D5CD6" w:rsidRDefault="00CA0D93" w:rsidP="00CA0D9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 xml:space="preserve">          ИТОГО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0D93" w:rsidRPr="003D5CD6" w:rsidRDefault="00CA0D93" w:rsidP="00CA0D93">
            <w:pPr>
              <w:keepNext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CA0D93" w:rsidRPr="003D5CD6" w:rsidRDefault="00CA0D93" w:rsidP="00CA0D9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D5CD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245 000,00</w:t>
            </w:r>
          </w:p>
        </w:tc>
      </w:tr>
    </w:tbl>
    <w:p w:rsidR="00182E4B" w:rsidRDefault="00182E4B" w:rsidP="00182E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</w:p>
    <w:p w:rsidR="00D300A6" w:rsidRDefault="00D300A6" w:rsidP="00D300A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00A6">
        <w:rPr>
          <w:rFonts w:ascii="Times New Roman" w:hAnsi="Times New Roman" w:cs="Times New Roman"/>
        </w:rPr>
        <w:t>Определение начальн</w:t>
      </w:r>
      <w:r>
        <w:rPr>
          <w:rFonts w:ascii="Times New Roman" w:hAnsi="Times New Roman" w:cs="Times New Roman"/>
        </w:rPr>
        <w:t>ой (максимальной) цены договора</w:t>
      </w:r>
      <w:r w:rsidRPr="00D300A6">
        <w:rPr>
          <w:rFonts w:ascii="Times New Roman" w:hAnsi="Times New Roman" w:cs="Times New Roman"/>
        </w:rPr>
        <w:t xml:space="preserve"> на выполнение работ на основе рыночной стоимости выполняемых работ </w:t>
      </w:r>
      <w:r>
        <w:rPr>
          <w:rFonts w:ascii="Times New Roman" w:hAnsi="Times New Roman" w:cs="Times New Roman"/>
        </w:rPr>
        <w:t>про</w:t>
      </w:r>
      <w:r w:rsidRPr="00D300A6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едено</w:t>
      </w:r>
      <w:r w:rsidRPr="00D300A6">
        <w:rPr>
          <w:rFonts w:ascii="Times New Roman" w:hAnsi="Times New Roman" w:cs="Times New Roman"/>
        </w:rPr>
        <w:t xml:space="preserve"> на основании усредненных цен, рассчитанных как среднее арифметическое единичных цен (тарифов) представленных на рынке не менее одного года</w:t>
      </w:r>
      <w:r>
        <w:rPr>
          <w:rFonts w:ascii="Times New Roman" w:hAnsi="Times New Roman" w:cs="Times New Roman"/>
        </w:rPr>
        <w:t>.</w:t>
      </w:r>
    </w:p>
    <w:p w:rsidR="00D300A6" w:rsidRPr="00D300A6" w:rsidRDefault="00D300A6" w:rsidP="00D300A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875CA" w:rsidRPr="00D300A6" w:rsidRDefault="006875CA" w:rsidP="00D300A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00A6">
        <w:rPr>
          <w:rFonts w:ascii="Times New Roman" w:hAnsi="Times New Roman" w:cs="Times New Roman"/>
        </w:rPr>
        <w:t>Начальная (максимальная) цена договора (НМЦД) включает все затраты и расходы, необходимых для исполнения договора, а также пошлины, налоги и сборы.</w:t>
      </w:r>
    </w:p>
    <w:p w:rsidR="00D300A6" w:rsidRPr="00A940E0" w:rsidRDefault="00D300A6" w:rsidP="006875CA">
      <w:pPr>
        <w:tabs>
          <w:tab w:val="left" w:pos="567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CA0D93" w:rsidRPr="00D300A6" w:rsidRDefault="00CA0D93" w:rsidP="00D300A6">
      <w:pPr>
        <w:keepNext/>
        <w:ind w:firstLine="567"/>
        <w:rPr>
          <w:rFonts w:ascii="Times New Roman" w:eastAsia="Times New Roman" w:hAnsi="Times New Roman" w:cs="Times New Roman"/>
          <w:b/>
          <w:snapToGrid w:val="0"/>
          <w:lang w:eastAsia="x-none"/>
        </w:rPr>
      </w:pPr>
      <w:r w:rsidRPr="00D300A6">
        <w:rPr>
          <w:rFonts w:ascii="Times New Roman" w:eastAsia="Times New Roman" w:hAnsi="Times New Roman" w:cs="Times New Roman"/>
          <w:b/>
          <w:snapToGrid w:val="0"/>
          <w:lang w:eastAsia="x-none"/>
        </w:rPr>
        <w:t>Начальная (мак</w:t>
      </w:r>
      <w:r w:rsidR="00D300A6">
        <w:rPr>
          <w:rFonts w:ascii="Times New Roman" w:eastAsia="Times New Roman" w:hAnsi="Times New Roman" w:cs="Times New Roman"/>
          <w:b/>
          <w:snapToGrid w:val="0"/>
          <w:lang w:eastAsia="x-none"/>
        </w:rPr>
        <w:t>симальная) цена договора для проведения процедуры закупки установ</w:t>
      </w:r>
      <w:r w:rsidR="00DA2F3A">
        <w:rPr>
          <w:rFonts w:ascii="Times New Roman" w:eastAsia="Times New Roman" w:hAnsi="Times New Roman" w:cs="Times New Roman"/>
          <w:b/>
          <w:snapToGrid w:val="0"/>
          <w:lang w:eastAsia="x-none"/>
        </w:rPr>
        <w:t>л</w:t>
      </w:r>
      <w:bookmarkStart w:id="3" w:name="_GoBack"/>
      <w:bookmarkEnd w:id="3"/>
      <w:r w:rsidR="00D300A6">
        <w:rPr>
          <w:rFonts w:ascii="Times New Roman" w:eastAsia="Times New Roman" w:hAnsi="Times New Roman" w:cs="Times New Roman"/>
          <w:b/>
          <w:snapToGrid w:val="0"/>
          <w:lang w:eastAsia="x-none"/>
        </w:rPr>
        <w:t>ена</w:t>
      </w:r>
      <w:r w:rsidRPr="00D300A6">
        <w:rPr>
          <w:rFonts w:ascii="Times New Roman" w:eastAsia="Times New Roman" w:hAnsi="Times New Roman" w:cs="Times New Roman"/>
          <w:b/>
          <w:snapToGrid w:val="0"/>
          <w:lang w:eastAsia="x-none"/>
        </w:rPr>
        <w:t xml:space="preserve"> в размере 245 000 руб. 00 коп.</w:t>
      </w:r>
    </w:p>
    <w:p w:rsidR="00CA0D93" w:rsidRPr="00CA0D93" w:rsidRDefault="00CA0D93" w:rsidP="00D300A6">
      <w:pPr>
        <w:keepNext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</w:p>
    <w:p w:rsidR="00CA0D93" w:rsidRPr="00CA0D93" w:rsidRDefault="00CA0D93" w:rsidP="00D300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0D93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Специалист по ОБИ            __________________         С.С. </w:t>
      </w:r>
      <w:proofErr w:type="spellStart"/>
      <w:r w:rsidRPr="00CA0D93">
        <w:rPr>
          <w:rFonts w:ascii="Times New Roman" w:eastAsia="Times New Roman" w:hAnsi="Times New Roman" w:cs="Times New Roman"/>
          <w:b/>
          <w:snapToGrid w:val="0"/>
          <w:lang w:eastAsia="ru-RU"/>
        </w:rPr>
        <w:t>Синицин</w:t>
      </w:r>
      <w:proofErr w:type="spellEnd"/>
    </w:p>
    <w:p w:rsidR="003B4EF6" w:rsidRDefault="00DA2F3A" w:rsidP="00CA0D93">
      <w:pPr>
        <w:spacing w:after="0" w:line="360" w:lineRule="auto"/>
        <w:jc w:val="both"/>
      </w:pPr>
    </w:p>
    <w:sectPr w:rsidR="003B4EF6" w:rsidSect="00A940E0">
      <w:pgSz w:w="16838" w:h="11906" w:orient="landscape"/>
      <w:pgMar w:top="1134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4B"/>
    <w:rsid w:val="0007609B"/>
    <w:rsid w:val="00182E4B"/>
    <w:rsid w:val="002F6F37"/>
    <w:rsid w:val="003D5CD6"/>
    <w:rsid w:val="006875CA"/>
    <w:rsid w:val="0069409C"/>
    <w:rsid w:val="009A5ED8"/>
    <w:rsid w:val="00A940E0"/>
    <w:rsid w:val="00AA1B80"/>
    <w:rsid w:val="00B84A16"/>
    <w:rsid w:val="00CA0D93"/>
    <w:rsid w:val="00D300A6"/>
    <w:rsid w:val="00DA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EF54"/>
  <w15:chartTrackingRefBased/>
  <w15:docId w15:val="{3AD2FE67-067A-473E-9100-749F22C8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2021-10-21T06:38:00Z</dcterms:created>
  <dcterms:modified xsi:type="dcterms:W3CDTF">2021-11-28T13:20:00Z</dcterms:modified>
</cp:coreProperties>
</file>